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44C" w:rsidRPr="00B340C1" w:rsidRDefault="00B7544C" w:rsidP="00B7544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340C1">
        <w:rPr>
          <w:rFonts w:ascii="Arial" w:hAnsi="Arial" w:cs="Arial"/>
          <w:b/>
          <w:sz w:val="28"/>
          <w:szCs w:val="28"/>
        </w:rPr>
        <w:t>SENIOR TWO ADDITIONAL HOLIDAY WORK</w:t>
      </w:r>
      <w:r>
        <w:rPr>
          <w:rFonts w:ascii="Arial" w:hAnsi="Arial" w:cs="Arial"/>
          <w:b/>
          <w:sz w:val="28"/>
          <w:szCs w:val="28"/>
        </w:rPr>
        <w:t xml:space="preserve"> NOVEMBER 2020</w:t>
      </w:r>
    </w:p>
    <w:p w:rsidR="00B7544C" w:rsidRDefault="00B7544C" w:rsidP="00B7544C">
      <w:pPr>
        <w:spacing w:after="0"/>
        <w:rPr>
          <w:rFonts w:ascii="Arial" w:hAnsi="Arial" w:cs="Arial"/>
          <w:sz w:val="20"/>
          <w:szCs w:val="20"/>
        </w:rPr>
      </w:pPr>
    </w:p>
    <w:p w:rsidR="00B7544C" w:rsidRPr="00705495" w:rsidRDefault="00B7544C" w:rsidP="00B7544C">
      <w:pPr>
        <w:spacing w:after="0"/>
        <w:rPr>
          <w:rFonts w:ascii="Arial" w:hAnsi="Arial" w:cs="Arial"/>
          <w:sz w:val="20"/>
          <w:szCs w:val="20"/>
        </w:rPr>
      </w:pPr>
      <w:r w:rsidRPr="00705495">
        <w:rPr>
          <w:rFonts w:ascii="Arial" w:hAnsi="Arial" w:cs="Arial"/>
          <w:sz w:val="20"/>
          <w:szCs w:val="20"/>
        </w:rPr>
        <w:t>Dear Students of S.2, topics 4 –</w:t>
      </w:r>
      <w:r>
        <w:rPr>
          <w:rFonts w:ascii="Arial" w:hAnsi="Arial" w:cs="Arial"/>
          <w:sz w:val="20"/>
          <w:szCs w:val="20"/>
        </w:rPr>
        <w:t xml:space="preserve"> 5</w:t>
      </w:r>
      <w:r w:rsidRPr="0070549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</w:t>
      </w:r>
      <w:r w:rsidRPr="00705495">
        <w:rPr>
          <w:rFonts w:ascii="Arial" w:hAnsi="Arial" w:cs="Arial"/>
          <w:sz w:val="20"/>
          <w:szCs w:val="20"/>
        </w:rPr>
        <w:t xml:space="preserve"> additional topics sent to you </w:t>
      </w:r>
      <w:r>
        <w:rPr>
          <w:rFonts w:ascii="Arial" w:hAnsi="Arial" w:cs="Arial"/>
          <w:sz w:val="20"/>
          <w:szCs w:val="20"/>
        </w:rPr>
        <w:t xml:space="preserve">earlier. </w:t>
      </w:r>
      <w:r w:rsidRPr="00705495">
        <w:rPr>
          <w:rFonts w:ascii="Arial" w:hAnsi="Arial" w:cs="Arial"/>
          <w:sz w:val="20"/>
          <w:szCs w:val="20"/>
        </w:rPr>
        <w:t xml:space="preserve"> Read and </w:t>
      </w:r>
      <w:r>
        <w:rPr>
          <w:rFonts w:ascii="Arial" w:hAnsi="Arial" w:cs="Arial"/>
          <w:sz w:val="20"/>
          <w:szCs w:val="20"/>
        </w:rPr>
        <w:t xml:space="preserve">understand those </w:t>
      </w:r>
      <w:r w:rsidRPr="00705495">
        <w:rPr>
          <w:rFonts w:ascii="Arial" w:hAnsi="Arial" w:cs="Arial"/>
          <w:sz w:val="20"/>
          <w:szCs w:val="20"/>
        </w:rPr>
        <w:t xml:space="preserve">topics during this break. </w:t>
      </w:r>
      <w:r>
        <w:rPr>
          <w:rFonts w:ascii="Arial" w:hAnsi="Arial" w:cs="Arial"/>
          <w:sz w:val="20"/>
          <w:szCs w:val="20"/>
        </w:rPr>
        <w:t xml:space="preserve">Additional topics 6 – 12 have been posted. </w:t>
      </w:r>
      <w:r w:rsidRPr="00705495">
        <w:rPr>
          <w:rFonts w:ascii="Arial" w:hAnsi="Arial" w:cs="Arial"/>
          <w:sz w:val="20"/>
          <w:szCs w:val="20"/>
        </w:rPr>
        <w:t xml:space="preserve">Ensure that you are able to answer all questions on those topics. </w:t>
      </w:r>
      <w:r w:rsidRPr="00705495">
        <w:rPr>
          <w:rFonts w:ascii="Arial" w:hAnsi="Arial" w:cs="Arial"/>
          <w:b/>
          <w:i/>
          <w:sz w:val="20"/>
          <w:szCs w:val="20"/>
        </w:rPr>
        <w:t>Use separate A4 96 page exercise book</w:t>
      </w:r>
      <w:r>
        <w:rPr>
          <w:rFonts w:ascii="Arial" w:hAnsi="Arial" w:cs="Arial"/>
          <w:b/>
          <w:i/>
          <w:sz w:val="20"/>
          <w:szCs w:val="20"/>
        </w:rPr>
        <w:t>s</w:t>
      </w:r>
      <w:r w:rsidRPr="00705495">
        <w:rPr>
          <w:rFonts w:ascii="Arial" w:hAnsi="Arial" w:cs="Arial"/>
          <w:sz w:val="20"/>
          <w:szCs w:val="20"/>
        </w:rPr>
        <w:t xml:space="preserve"> to summarize the topics</w:t>
      </w:r>
      <w:r>
        <w:rPr>
          <w:rFonts w:ascii="Arial" w:hAnsi="Arial" w:cs="Arial"/>
          <w:sz w:val="20"/>
          <w:szCs w:val="20"/>
        </w:rPr>
        <w:t>, read and understand them</w:t>
      </w:r>
    </w:p>
    <w:p w:rsidR="00B7544C" w:rsidRDefault="00B7544C" w:rsidP="00B7544C">
      <w:pPr>
        <w:spacing w:after="0"/>
        <w:rPr>
          <w:rFonts w:ascii="Arial" w:hAnsi="Arial" w:cs="Arial"/>
          <w:sz w:val="20"/>
          <w:szCs w:val="20"/>
        </w:rPr>
      </w:pPr>
    </w:p>
    <w:p w:rsidR="00B7544C" w:rsidRDefault="00B7544C" w:rsidP="00B7544C">
      <w:pPr>
        <w:spacing w:after="0"/>
        <w:rPr>
          <w:rFonts w:ascii="Arial" w:hAnsi="Arial" w:cs="Arial"/>
          <w:sz w:val="20"/>
          <w:szCs w:val="20"/>
        </w:rPr>
      </w:pPr>
      <w:r w:rsidRPr="00705495">
        <w:rPr>
          <w:rFonts w:ascii="Arial" w:hAnsi="Arial" w:cs="Arial"/>
          <w:sz w:val="20"/>
          <w:szCs w:val="20"/>
        </w:rPr>
        <w:t xml:space="preserve">You are </w:t>
      </w:r>
      <w:r>
        <w:rPr>
          <w:rFonts w:ascii="Arial" w:hAnsi="Arial" w:cs="Arial"/>
          <w:sz w:val="20"/>
          <w:szCs w:val="20"/>
        </w:rPr>
        <w:t xml:space="preserve">strictly </w:t>
      </w:r>
      <w:r w:rsidRPr="00705495">
        <w:rPr>
          <w:rFonts w:ascii="Arial" w:hAnsi="Arial" w:cs="Arial"/>
          <w:sz w:val="20"/>
          <w:szCs w:val="20"/>
        </w:rPr>
        <w:t xml:space="preserve">advised to use the </w:t>
      </w:r>
      <w:r w:rsidRPr="00B7544C">
        <w:rPr>
          <w:rFonts w:ascii="Arial" w:hAnsi="Arial" w:cs="Arial"/>
          <w:b/>
          <w:i/>
          <w:sz w:val="20"/>
          <w:szCs w:val="20"/>
        </w:rPr>
        <w:t xml:space="preserve">Comprehensive Revision Guide for Ordinary level, the Magic Book Series by </w:t>
      </w:r>
      <w:proofErr w:type="spellStart"/>
      <w:r w:rsidRPr="00B7544C">
        <w:rPr>
          <w:rFonts w:ascii="Arial" w:hAnsi="Arial" w:cs="Arial"/>
          <w:b/>
          <w:i/>
          <w:sz w:val="20"/>
          <w:szCs w:val="20"/>
        </w:rPr>
        <w:t>Vinansio</w:t>
      </w:r>
      <w:proofErr w:type="spellEnd"/>
      <w:r w:rsidRPr="00B7544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7544C">
        <w:rPr>
          <w:rFonts w:ascii="Arial" w:hAnsi="Arial" w:cs="Arial"/>
          <w:b/>
          <w:i/>
          <w:sz w:val="20"/>
          <w:szCs w:val="20"/>
        </w:rPr>
        <w:t>Amone</w:t>
      </w:r>
      <w:proofErr w:type="spellEnd"/>
      <w:r w:rsidRPr="00B7544C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B7544C">
        <w:rPr>
          <w:rFonts w:ascii="Arial" w:hAnsi="Arial" w:cs="Arial"/>
          <w:b/>
          <w:i/>
          <w:sz w:val="20"/>
          <w:szCs w:val="20"/>
        </w:rPr>
        <w:t>Odelle</w:t>
      </w:r>
      <w:proofErr w:type="spellEnd"/>
      <w:r w:rsidRPr="00B7544C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B7544C">
        <w:rPr>
          <w:rFonts w:ascii="Arial" w:hAnsi="Arial" w:cs="Arial"/>
          <w:sz w:val="20"/>
          <w:szCs w:val="20"/>
        </w:rPr>
        <w:t xml:space="preserve">The book systematically covers the entire syllabus and it’s written in simple and straight forward English. </w:t>
      </w:r>
      <w:r w:rsidR="00FD29D8">
        <w:rPr>
          <w:rFonts w:ascii="Arial" w:hAnsi="Arial" w:cs="Arial"/>
          <w:sz w:val="20"/>
          <w:szCs w:val="20"/>
        </w:rPr>
        <w:t>For those who don’t have the books, c</w:t>
      </w:r>
      <w:r w:rsidRPr="00B7544C">
        <w:rPr>
          <w:rFonts w:ascii="Arial" w:hAnsi="Arial" w:cs="Arial"/>
          <w:sz w:val="20"/>
          <w:szCs w:val="20"/>
        </w:rPr>
        <w:t xml:space="preserve">opies are available at </w:t>
      </w:r>
      <w:proofErr w:type="spellStart"/>
      <w:r w:rsidRPr="00B7544C">
        <w:rPr>
          <w:rFonts w:ascii="Arial" w:hAnsi="Arial" w:cs="Arial"/>
          <w:sz w:val="20"/>
          <w:szCs w:val="20"/>
        </w:rPr>
        <w:t>Aristoc</w:t>
      </w:r>
      <w:proofErr w:type="spellEnd"/>
      <w:r w:rsidRPr="00B754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44C">
        <w:rPr>
          <w:rFonts w:ascii="Arial" w:hAnsi="Arial" w:cs="Arial"/>
          <w:sz w:val="20"/>
          <w:szCs w:val="20"/>
        </w:rPr>
        <w:t>Booklex</w:t>
      </w:r>
      <w:proofErr w:type="spellEnd"/>
      <w:r w:rsidRPr="00B7544C">
        <w:rPr>
          <w:rFonts w:ascii="Arial" w:hAnsi="Arial" w:cs="Arial"/>
          <w:sz w:val="20"/>
          <w:szCs w:val="20"/>
        </w:rPr>
        <w:t xml:space="preserve"> on Kampala Road or contact the author on 0772326303</w:t>
      </w:r>
      <w:r>
        <w:rPr>
          <w:rFonts w:ascii="Arial" w:hAnsi="Arial" w:cs="Arial"/>
          <w:sz w:val="20"/>
          <w:szCs w:val="20"/>
        </w:rPr>
        <w:t xml:space="preserve"> (St. Joseph’s SSS </w:t>
      </w:r>
      <w:proofErr w:type="spellStart"/>
      <w:r>
        <w:rPr>
          <w:rFonts w:ascii="Arial" w:hAnsi="Arial" w:cs="Arial"/>
          <w:sz w:val="20"/>
          <w:szCs w:val="20"/>
        </w:rPr>
        <w:t>Naggalama</w:t>
      </w:r>
      <w:proofErr w:type="spellEnd"/>
      <w:r>
        <w:rPr>
          <w:rFonts w:ascii="Arial" w:hAnsi="Arial" w:cs="Arial"/>
          <w:sz w:val="20"/>
          <w:szCs w:val="20"/>
        </w:rPr>
        <w:t xml:space="preserve">). The copies can </w:t>
      </w:r>
      <w:r w:rsidR="00E01CA5">
        <w:rPr>
          <w:rFonts w:ascii="Arial" w:hAnsi="Arial" w:cs="Arial"/>
          <w:sz w:val="20"/>
          <w:szCs w:val="20"/>
        </w:rPr>
        <w:t xml:space="preserve">also </w:t>
      </w:r>
      <w:r>
        <w:rPr>
          <w:rFonts w:ascii="Arial" w:hAnsi="Arial" w:cs="Arial"/>
          <w:sz w:val="20"/>
          <w:szCs w:val="20"/>
        </w:rPr>
        <w:t xml:space="preserve">be delivered to your nearest town upon </w:t>
      </w:r>
      <w:r w:rsidR="00E01CA5">
        <w:rPr>
          <w:rFonts w:ascii="Arial" w:hAnsi="Arial" w:cs="Arial"/>
          <w:sz w:val="20"/>
          <w:szCs w:val="20"/>
        </w:rPr>
        <w:t xml:space="preserve">making the requisite </w:t>
      </w:r>
      <w:r>
        <w:rPr>
          <w:rFonts w:ascii="Arial" w:hAnsi="Arial" w:cs="Arial"/>
          <w:sz w:val="20"/>
          <w:szCs w:val="20"/>
        </w:rPr>
        <w:t>payment</w:t>
      </w:r>
    </w:p>
    <w:p w:rsidR="00E01CA5" w:rsidRPr="00B7544C" w:rsidRDefault="00E01CA5" w:rsidP="00B7544C">
      <w:pPr>
        <w:spacing w:after="0"/>
        <w:rPr>
          <w:rFonts w:ascii="Arial" w:hAnsi="Arial" w:cs="Arial"/>
          <w:sz w:val="20"/>
          <w:szCs w:val="20"/>
        </w:rPr>
      </w:pPr>
    </w:p>
    <w:p w:rsidR="00B7544C" w:rsidRPr="00705495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705495">
        <w:rPr>
          <w:rFonts w:ascii="Arial" w:hAnsi="Arial" w:cs="Arial"/>
        </w:rPr>
        <w:t>Interlacustrine</w:t>
      </w:r>
      <w:proofErr w:type="spellEnd"/>
      <w:r w:rsidRPr="00705495">
        <w:rPr>
          <w:rFonts w:ascii="Arial" w:hAnsi="Arial" w:cs="Arial"/>
        </w:rPr>
        <w:t xml:space="preserve"> pre -colonial </w:t>
      </w:r>
      <w:r>
        <w:rPr>
          <w:rFonts w:ascii="Arial" w:hAnsi="Arial" w:cs="Arial"/>
        </w:rPr>
        <w:t xml:space="preserve">East African </w:t>
      </w:r>
      <w:r w:rsidRPr="00705495">
        <w:rPr>
          <w:rFonts w:ascii="Arial" w:hAnsi="Arial" w:cs="Arial"/>
        </w:rPr>
        <w:t>kingdoms</w:t>
      </w:r>
    </w:p>
    <w:p w:rsidR="00B7544C" w:rsidRPr="00705495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5495">
        <w:rPr>
          <w:rFonts w:ascii="Arial" w:hAnsi="Arial" w:cs="Arial"/>
        </w:rPr>
        <w:t>Pre – colonial trade (slave trade and the long distance trade</w:t>
      </w:r>
    </w:p>
    <w:p w:rsidR="00B7544C" w:rsidRPr="00705495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05495">
        <w:rPr>
          <w:rFonts w:ascii="Arial" w:hAnsi="Arial" w:cs="Arial"/>
        </w:rPr>
        <w:t>Missionary activities in East Africa</w:t>
      </w:r>
    </w:p>
    <w:p w:rsidR="00B7544C" w:rsidRPr="00705495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705495">
        <w:rPr>
          <w:rFonts w:ascii="Arial" w:hAnsi="Arial" w:cs="Arial"/>
          <w:color w:val="FF0000"/>
        </w:rPr>
        <w:t>The scramble and partition of East Africa</w:t>
      </w:r>
    </w:p>
    <w:p w:rsidR="00B7544C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</w:rPr>
      </w:pPr>
      <w:r w:rsidRPr="00705495">
        <w:rPr>
          <w:rFonts w:ascii="Arial" w:hAnsi="Arial" w:cs="Arial"/>
          <w:color w:val="FF0000"/>
        </w:rPr>
        <w:t>Colonial Administrative policies in East Africa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African response to colonial rule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Anglo – German rivalries in East Africa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Economic and social development in Kenya, Uganda and Tanzania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Political development in Kenya, Uganda and Tanzania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The growth of nationalism and struggle for independence in East Africa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The world war period</w:t>
      </w:r>
    </w:p>
    <w:p w:rsidR="00B7544C" w:rsidRPr="003967BD" w:rsidRDefault="00B7544C" w:rsidP="00B7544C">
      <w:pPr>
        <w:pStyle w:val="ListParagraph"/>
        <w:numPr>
          <w:ilvl w:val="0"/>
          <w:numId w:val="1"/>
        </w:numPr>
        <w:rPr>
          <w:rFonts w:ascii="Arial" w:hAnsi="Arial" w:cs="Arial"/>
          <w:color w:val="00B0F0"/>
        </w:rPr>
      </w:pPr>
      <w:r w:rsidRPr="003967BD">
        <w:rPr>
          <w:rFonts w:ascii="Arial" w:hAnsi="Arial" w:cs="Arial"/>
          <w:color w:val="00B0F0"/>
        </w:rPr>
        <w:t>The formation of political parties in East Africa.</w:t>
      </w:r>
    </w:p>
    <w:p w:rsidR="00B7544C" w:rsidRDefault="00B7544C" w:rsidP="00B7544C"/>
    <w:p w:rsidR="00B7544C" w:rsidRDefault="00B7544C" w:rsidP="00B7544C">
      <w:pPr>
        <w:spacing w:after="0"/>
        <w:jc w:val="center"/>
        <w:rPr>
          <w:rFonts w:ascii="Tahoma" w:hAnsi="Tahoma" w:cs="Tahoma"/>
          <w:b/>
        </w:rPr>
      </w:pPr>
    </w:p>
    <w:p w:rsidR="000C47C2" w:rsidRDefault="00A73664"/>
    <w:sectPr w:rsidR="000C47C2" w:rsidSect="000C3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A3C"/>
    <w:multiLevelType w:val="hybridMultilevel"/>
    <w:tmpl w:val="C7B89120"/>
    <w:lvl w:ilvl="0" w:tplc="FF18E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7544C"/>
    <w:rsid w:val="000C3C54"/>
    <w:rsid w:val="001923EA"/>
    <w:rsid w:val="001E03E6"/>
    <w:rsid w:val="0022178D"/>
    <w:rsid w:val="003A4E81"/>
    <w:rsid w:val="00402E03"/>
    <w:rsid w:val="00577CF0"/>
    <w:rsid w:val="00587BBE"/>
    <w:rsid w:val="005D3A90"/>
    <w:rsid w:val="006B1446"/>
    <w:rsid w:val="007D08DC"/>
    <w:rsid w:val="00945B37"/>
    <w:rsid w:val="00A73664"/>
    <w:rsid w:val="00AA535D"/>
    <w:rsid w:val="00B66611"/>
    <w:rsid w:val="00B7544C"/>
    <w:rsid w:val="00D55FE3"/>
    <w:rsid w:val="00E01CA5"/>
    <w:rsid w:val="00E73433"/>
    <w:rsid w:val="00FD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2020-11-06T08:00:00Z</dcterms:created>
  <dcterms:modified xsi:type="dcterms:W3CDTF">2020-11-06T08:00:00Z</dcterms:modified>
</cp:coreProperties>
</file>